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3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общем количестве обращений,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3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поступивших за </w:t>
      </w:r>
      <w:r>
        <w:rPr>
          <w:sz w:val="28"/>
          <w:szCs w:val="28"/>
          <w:lang w:val="en-US"/>
        </w:rPr>
        <w:t xml:space="preserve">I</w:t>
      </w:r>
      <w:r>
        <w:rPr>
          <w:sz w:val="28"/>
          <w:szCs w:val="28"/>
          <w:lang w:val="en-US"/>
        </w:rPr>
        <w:t xml:space="preserve">I</w:t>
      </w:r>
      <w:r>
        <w:rPr>
          <w:sz w:val="28"/>
          <w:szCs w:val="28"/>
        </w:rPr>
        <w:t xml:space="preserve"> квартал 2026</w:t>
      </w:r>
      <w:r>
        <w:rPr>
          <w:sz w:val="28"/>
          <w:szCs w:val="28"/>
        </w:rPr>
        <w:t xml:space="preserve"> года, а также о проводимых мероприятиях, направленных на сокращение обращений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3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часто задаваемым вопросам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32"/>
        <w:jc w:val="center"/>
        <w:rPr>
          <w:sz w:val="28"/>
          <w:szCs w:val="22"/>
        </w:rPr>
      </w:pPr>
      <w:r>
        <w:rPr>
          <w:sz w:val="28"/>
          <w:szCs w:val="22"/>
        </w:rPr>
      </w:r>
      <w:r>
        <w:rPr>
          <w:sz w:val="28"/>
          <w:szCs w:val="22"/>
        </w:rPr>
      </w:r>
    </w:p>
    <w:tbl>
      <w:tblPr>
        <w:tblpPr w:horzAnchor="text" w:tblpX="108" w:vertAnchor="text" w:tblpY="224" w:leftFromText="180" w:topFromText="0" w:rightFromText="180" w:bottomFromText="0"/>
        <w:tblW w:w="1006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75"/>
        <w:gridCol w:w="2410"/>
        <w:gridCol w:w="2126"/>
        <w:gridCol w:w="3153"/>
        <w:gridCol w:w="17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065" w:type="dxa"/>
            <w:vAlign w:val="top"/>
            <w:textDirection w:val="lrTb"/>
            <w:noWrap w:val="false"/>
          </w:tcPr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Управление Федерального казначейства по Ростовской области</w:t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364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Общее количество обращений за </w:t>
            </w:r>
            <w:r>
              <w:rPr>
                <w:rFonts w:eastAsia="Calibri"/>
                <w:lang w:val="en-US"/>
              </w:rPr>
              <w:t xml:space="preserve">I</w:t>
            </w:r>
            <w:r>
              <w:rPr>
                <w:rFonts w:eastAsia="Calibri"/>
                <w:lang w:val="en-US"/>
              </w:rPr>
              <w:t xml:space="preserve">I</w:t>
            </w:r>
            <w:r>
              <w:rPr>
                <w:rFonts w:eastAsia="Calibri"/>
              </w:rPr>
              <w:t xml:space="preserve"> квартал 202</w:t>
            </w:r>
            <w:r>
              <w:rPr>
                <w:rFonts w:eastAsia="Calibri"/>
              </w:rPr>
              <w:t xml:space="preserve">6</w:t>
            </w:r>
            <w:r>
              <w:rPr>
                <w:rFonts w:eastAsia="Calibri"/>
              </w:rPr>
              <w:t xml:space="preserve"> года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99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372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№ п/п</w:t>
            </w:r>
            <w:r>
              <w:rPr>
                <w:rFonts w:eastAsia="Calibri"/>
              </w:rPr>
            </w:r>
          </w:p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Вопросы, по которым получено наибольшее количество обращений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53" w:type="dxa"/>
            <w:vAlign w:val="center"/>
            <w:vMerge w:val="restart"/>
            <w:textDirection w:val="lrTb"/>
            <w:noWrap w:val="false"/>
          </w:tcPr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Меры, направленные на сокращение обращений по часто задаваемым вопросам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Количество обращений по теме</w:t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line="360" w:lineRule="atLeast"/>
              <w:framePr w:hSpace="180" w:wrap="around" w:vAnchor="text" w:hAnchor="text" w:x="108" w:y="224"/>
            </w:pPr>
            <w:r>
              <w:t xml:space="preserve">Код вопроса </w:t>
            </w:r>
            <w:r/>
          </w:p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t xml:space="preserve">из Типового общероссийского тематического классификатора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x="108"/>
            </w:pPr>
            <w:r>
              <w:rPr>
                <w:rFonts w:eastAsia="Calibri"/>
              </w:rPr>
              <w:t xml:space="preserve">Тема вопроса</w:t>
            </w:r>
            <w:r>
              <w:rPr>
                <w:rFonts w:eastAsia="Calibri"/>
              </w:rPr>
            </w:r>
          </w:p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из Типового общероссийского тематического классификатора</w:t>
            </w:r>
            <w:r>
              <w:rPr>
                <w:rFonts w:eastAsia="Calibri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53" w:type="dxa"/>
            <w:vAlign w:val="center"/>
            <w:vMerge w:val="continue"/>
            <w:textDirection w:val="lrTb"/>
            <w:noWrap w:val="false"/>
          </w:tcPr>
          <w:p>
            <w:pPr>
              <w:pStyle w:val="632"/>
              <w:jc w:val="center"/>
              <w:spacing w:line="360" w:lineRule="atLeast"/>
              <w:rPr>
                <w:rFonts w:eastAsia="Calibri"/>
                <w:b/>
              </w:rPr>
              <w:framePr w:hSpace="180" w:wrap="around" w:vAnchor="text" w:hAnchor="text" w:x="108" w:y="224"/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632"/>
              <w:jc w:val="center"/>
              <w:spacing w:line="360" w:lineRule="atLeast"/>
              <w:rPr>
                <w:rFonts w:eastAsia="Calibri"/>
                <w:b/>
              </w:rPr>
              <w:framePr w:hSpace="180" w:wrap="around" w:vAnchor="text" w:hAnchor="text" w:x="108" w:y="224"/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1.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32"/>
              <w:jc w:val="center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0003.0008.0086.0557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32"/>
              <w:jc w:val="both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Возврат или зачет излишне уплаченных или излишне взысканных сумм налогов, сборов, взносов, пеней и штрафов</w:t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53" w:type="dxa"/>
            <w:vAlign w:val="top"/>
            <w:textDirection w:val="lrTb"/>
            <w:noWrap w:val="false"/>
          </w:tcPr>
          <w:p>
            <w:pPr>
              <w:pStyle w:val="632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Размещение на </w:t>
            </w:r>
            <w:r>
              <w:rPr>
                <w:rFonts w:eastAsia="Calibri"/>
              </w:rPr>
              <w:t xml:space="preserve">официальном сайте Управления Федерального казначейства по Ростовской области в информационно-телекоммуникационной сети «Интернет»</w:t>
            </w:r>
            <w:r>
              <w:rPr>
                <w:rFonts w:eastAsia="Calibri"/>
              </w:rPr>
              <w:t xml:space="preserve">: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pStyle w:val="632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1. Р</w:t>
            </w:r>
            <w:r>
              <w:rPr>
                <w:rFonts w:eastAsia="Calibri"/>
              </w:rPr>
              <w:t xml:space="preserve">еквизитов для уплаты платежей в бюджетную</w:t>
            </w:r>
            <w:r>
              <w:rPr>
                <w:rFonts w:eastAsia="Calibri"/>
              </w:rPr>
              <w:t xml:space="preserve"> систему Российской Федерации;</w:t>
            </w:r>
            <w:r>
              <w:rPr>
                <w:rFonts w:eastAsia="Calibri"/>
              </w:rPr>
            </w:r>
          </w:p>
          <w:p>
            <w:pPr>
              <w:pStyle w:val="632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2. П</w:t>
            </w:r>
            <w:r>
              <w:rPr>
                <w:rFonts w:eastAsia="Calibri"/>
              </w:rPr>
              <w:t xml:space="preserve">орядка возврата </w:t>
            </w:r>
            <w:r>
              <w:rPr>
                <w:rFonts w:eastAsia="Calibri"/>
              </w:rPr>
              <w:t xml:space="preserve">и уточнения </w:t>
            </w:r>
            <w:r>
              <w:rPr>
                <w:rFonts w:eastAsia="Calibri"/>
              </w:rPr>
              <w:t xml:space="preserve">денежных средств ошибочно или излишне перечисленных в бюджетную систему Российской Федерации</w:t>
            </w:r>
            <w:r>
              <w:rPr>
                <w:rFonts w:eastAsia="Calibri"/>
              </w:rPr>
              <w:t xml:space="preserve">;</w:t>
            </w:r>
            <w:r>
              <w:rPr>
                <w:rFonts w:eastAsia="Calibri"/>
              </w:rPr>
            </w:r>
          </w:p>
          <w:p>
            <w:pPr>
              <w:pStyle w:val="632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3. Перечня реквизитов для оформления Заявления на возврат;</w:t>
            </w:r>
            <w:r>
              <w:rPr>
                <w:rFonts w:eastAsia="Calibri"/>
              </w:rPr>
            </w:r>
          </w:p>
          <w:p>
            <w:pPr>
              <w:pStyle w:val="632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4. Образца Согласия на обработку персональных данных.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32"/>
              <w:spacing w:line="360" w:lineRule="atLeast"/>
              <w:rPr>
                <w:rFonts w:eastAsia="Calibri"/>
              </w:rPr>
              <w:framePr w:hSpace="180" w:wrap="around" w:vAnchor="text" w:hAnchor="text" w:x="108" w:y="224"/>
            </w:pPr>
            <w:r>
              <w:rPr>
                <w:rFonts w:eastAsia="Calibri"/>
              </w:rPr>
              <w:t xml:space="preserve">62</w:t>
            </w:r>
            <w:r>
              <w:rPr>
                <w:rFonts w:eastAsia="Calibri"/>
              </w:rPr>
              <w:t xml:space="preserve">  (</w:t>
            </w:r>
            <w:r>
              <w:rPr>
                <w:rFonts w:eastAsia="Calibri"/>
              </w:rPr>
              <w:t xml:space="preserve">62,63</w:t>
            </w:r>
            <w:r>
              <w:rPr>
                <w:sz w:val="21"/>
                <w:szCs w:val="21"/>
              </w:rPr>
              <w:t xml:space="preserve">% </w:t>
            </w:r>
            <w:r>
              <w:rPr>
                <w:rFonts w:eastAsia="Calibri"/>
              </w:rPr>
              <w:t xml:space="preserve">)</w:t>
            </w:r>
            <w:r>
              <w:rPr>
                <w:rFonts w:eastAsia="Calibri"/>
              </w:rPr>
            </w:r>
          </w:p>
        </w:tc>
      </w:tr>
    </w:tbl>
    <w:sectPr>
      <w:headerReference w:type="default" r:id="rId9"/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8"/>
      <w:jc w:val="center"/>
    </w:pPr>
    <w:r/>
    <w:r/>
  </w:p>
  <w:p>
    <w:pPr>
      <w:pStyle w:val="63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0" w:firstLine="709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32"/>
    <w:next w:val="632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32"/>
    <w:next w:val="632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32"/>
    <w:next w:val="632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32"/>
    <w:next w:val="632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32"/>
    <w:next w:val="632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32"/>
    <w:next w:val="632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32"/>
    <w:next w:val="632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32"/>
    <w:next w:val="632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32"/>
    <w:next w:val="632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32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32"/>
    <w:next w:val="632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32"/>
    <w:next w:val="632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32"/>
    <w:next w:val="632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32"/>
    <w:next w:val="632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32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32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32"/>
    <w:next w:val="632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32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32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32"/>
    <w:next w:val="632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32"/>
    <w:next w:val="632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32"/>
    <w:next w:val="632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32"/>
    <w:next w:val="632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32"/>
    <w:next w:val="632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32"/>
    <w:next w:val="632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32"/>
    <w:next w:val="632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32"/>
    <w:next w:val="632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32"/>
    <w:next w:val="632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32"/>
    <w:next w:val="632"/>
    <w:uiPriority w:val="99"/>
    <w:unhideWhenUsed/>
    <w:pPr>
      <w:spacing w:after="0" w:afterAutospacing="0"/>
    </w:pPr>
  </w:style>
  <w:style w:type="paragraph" w:styleId="632" w:default="1">
    <w:name w:val="Normal"/>
    <w:next w:val="632"/>
    <w:link w:val="632"/>
    <w:qFormat/>
    <w:rPr>
      <w:sz w:val="24"/>
      <w:szCs w:val="24"/>
      <w:lang w:val="ru-RU" w:eastAsia="ru-RU" w:bidi="ar-SA"/>
    </w:rPr>
  </w:style>
  <w:style w:type="character" w:styleId="633">
    <w:name w:val="Основной шрифт абзаца"/>
    <w:next w:val="633"/>
    <w:link w:val="632"/>
    <w:semiHidden/>
  </w:style>
  <w:style w:type="table" w:styleId="634">
    <w:name w:val="Обычная таблица"/>
    <w:next w:val="634"/>
    <w:link w:val="632"/>
    <w:semiHidden/>
    <w:tblPr/>
  </w:style>
  <w:style w:type="numbering" w:styleId="635">
    <w:name w:val="Нет списка"/>
    <w:next w:val="635"/>
    <w:link w:val="632"/>
    <w:semiHidden/>
  </w:style>
  <w:style w:type="paragraph" w:styleId="636">
    <w:name w:val="Текст выноски"/>
    <w:basedOn w:val="632"/>
    <w:next w:val="636"/>
    <w:link w:val="632"/>
    <w:semiHidden/>
    <w:rPr>
      <w:rFonts w:ascii="Tahoma" w:hAnsi="Tahoma" w:cs="Tahoma"/>
      <w:sz w:val="16"/>
      <w:szCs w:val="16"/>
    </w:rPr>
  </w:style>
  <w:style w:type="table" w:styleId="637">
    <w:name w:val="Сетка таблицы"/>
    <w:basedOn w:val="634"/>
    <w:next w:val="637"/>
    <w:link w:val="632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paragraph" w:styleId="638">
    <w:name w:val="Верхний колонтитул"/>
    <w:basedOn w:val="632"/>
    <w:next w:val="638"/>
    <w:link w:val="639"/>
    <w:uiPriority w:val="99"/>
    <w:pPr>
      <w:tabs>
        <w:tab w:val="center" w:pos="4677" w:leader="none"/>
        <w:tab w:val="right" w:pos="9355" w:leader="none"/>
      </w:tabs>
    </w:pPr>
  </w:style>
  <w:style w:type="character" w:styleId="639">
    <w:name w:val="Верхний колонтитул Знак"/>
    <w:next w:val="639"/>
    <w:link w:val="638"/>
    <w:uiPriority w:val="99"/>
    <w:rPr>
      <w:sz w:val="24"/>
      <w:szCs w:val="24"/>
    </w:rPr>
  </w:style>
  <w:style w:type="paragraph" w:styleId="640">
    <w:name w:val="Нижний колонтитул"/>
    <w:basedOn w:val="632"/>
    <w:next w:val="640"/>
    <w:link w:val="641"/>
    <w:pPr>
      <w:tabs>
        <w:tab w:val="center" w:pos="4677" w:leader="none"/>
        <w:tab w:val="right" w:pos="9355" w:leader="none"/>
      </w:tabs>
    </w:pPr>
  </w:style>
  <w:style w:type="character" w:styleId="641">
    <w:name w:val="Нижний колонтитул Знак"/>
    <w:next w:val="641"/>
    <w:link w:val="640"/>
    <w:rPr>
      <w:sz w:val="24"/>
      <w:szCs w:val="24"/>
    </w:rPr>
  </w:style>
  <w:style w:type="character" w:styleId="898" w:default="1">
    <w:name w:val="Default Paragraph Font"/>
    <w:uiPriority w:val="1"/>
    <w:semiHidden/>
    <w:unhideWhenUsed/>
  </w:style>
  <w:style w:type="numbering" w:styleId="899" w:default="1">
    <w:name w:val="No List"/>
    <w:uiPriority w:val="99"/>
    <w:semiHidden/>
    <w:unhideWhenUsed/>
  </w:style>
  <w:style w:type="table" w:styleId="90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ФК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ФИНАНСОВ</dc:title>
  <dc:creator>Чубарова</dc:creator>
  <cp:lastModifiedBy>Гаркушина Ольга Вячеславовна</cp:lastModifiedBy>
  <cp:revision>54</cp:revision>
  <dcterms:created xsi:type="dcterms:W3CDTF">2022-01-14T10:52:00Z</dcterms:created>
  <dcterms:modified xsi:type="dcterms:W3CDTF">2026-07-03T08:19:29Z</dcterms:modified>
  <cp:version>917504</cp:version>
</cp:coreProperties>
</file>