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7C4" w:rsidRDefault="008D37C4">
      <w:pPr>
        <w:pStyle w:val="ConsPlusTitle"/>
        <w:ind w:firstLine="540"/>
        <w:jc w:val="both"/>
        <w:outlineLvl w:val="0"/>
      </w:pPr>
      <w:r>
        <w:t>Статья 242.13-1. Казначейский мониторинг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5">
        <w:r>
          <w:rPr>
            <w:color w:val="0000FF"/>
          </w:rPr>
          <w:t>закона</w:t>
        </w:r>
      </w:hyperlink>
      <w:r>
        <w:t xml:space="preserve"> от 21.04.2025 N 84-ФЗ)</w:t>
      </w:r>
    </w:p>
    <w:p w:rsidR="008D37C4" w:rsidRDefault="008D37C4">
      <w:pPr>
        <w:pStyle w:val="ConsPlusNormal"/>
        <w:ind w:firstLine="540"/>
        <w:jc w:val="both"/>
      </w:pPr>
    </w:p>
    <w:p w:rsidR="008D37C4" w:rsidRDefault="008D37C4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Федеральным </w:t>
      </w:r>
      <w:hyperlink r:id="rId6">
        <w:r>
          <w:rPr>
            <w:color w:val="0000FF"/>
          </w:rPr>
          <w:t>законом</w:t>
        </w:r>
      </w:hyperlink>
      <w:r>
        <w:t xml:space="preserve"> от 01.07.2021 N 244-ФЗ)</w:t>
      </w:r>
    </w:p>
    <w:p w:rsidR="008D37C4" w:rsidRDefault="008D37C4">
      <w:pPr>
        <w:pStyle w:val="ConsPlusNormal"/>
        <w:jc w:val="both"/>
      </w:pPr>
    </w:p>
    <w:p w:rsidR="008D37C4" w:rsidRDefault="008D37C4">
      <w:pPr>
        <w:pStyle w:val="ConsPlusNormal"/>
        <w:ind w:firstLine="540"/>
        <w:jc w:val="both"/>
      </w:pPr>
      <w:bookmarkStart w:id="0" w:name="P5"/>
      <w:bookmarkEnd w:id="0"/>
      <w:r>
        <w:t>1. Федеральное казначейство при открытии лицевых счетов и осуществлении операций в системе казначейских платежей в целях недопущения финансовых нарушений участниками казначейского сопровождения проводит казначейский мониторинг и применяет меры реагирования в порядке, установленном Правительством Российской Федерации, с соблюдением требований, установленных настоящей статьей.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7">
        <w:r>
          <w:rPr>
            <w:color w:val="0000FF"/>
          </w:rPr>
          <w:t>закона</w:t>
        </w:r>
      </w:hyperlink>
      <w:r>
        <w:t xml:space="preserve"> от 21.04.2025 N 84-ФЗ)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Федеральное казначейство в ходе проведения казначейского мониторинга при открытии участникам казначейского сопровождения лицевых счетов и осуществлении операций на указанных лицевых счетах проводит проверку наличия оснований, указанных в </w:t>
      </w:r>
      <w:hyperlink w:anchor="P19">
        <w:r>
          <w:rPr>
            <w:color w:val="0000FF"/>
          </w:rPr>
          <w:t>пунктах 6</w:t>
        </w:r>
      </w:hyperlink>
      <w:r>
        <w:t xml:space="preserve"> - </w:t>
      </w:r>
      <w:hyperlink w:anchor="P37">
        <w:r>
          <w:rPr>
            <w:color w:val="0000FF"/>
          </w:rPr>
          <w:t>11</w:t>
        </w:r>
      </w:hyperlink>
      <w:r>
        <w:t xml:space="preserve"> настоящей статьи, а также наличия признаков, включенных в классификатор признаков финансовых нарушений участников казначейского сопровождения, указанный в </w:t>
      </w:r>
      <w:hyperlink w:anchor="P44">
        <w:r>
          <w:rPr>
            <w:color w:val="0000FF"/>
          </w:rPr>
          <w:t>пункте 13</w:t>
        </w:r>
      </w:hyperlink>
      <w:r>
        <w:t xml:space="preserve"> настоящей статьи.</w:t>
      </w:r>
      <w:proofErr w:type="gramEnd"/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8">
        <w:r>
          <w:rPr>
            <w:color w:val="0000FF"/>
          </w:rPr>
          <w:t>закона</w:t>
        </w:r>
      </w:hyperlink>
      <w:r>
        <w:t xml:space="preserve"> от 21.04.2025 N 84-ФЗ)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3. Федеральное казначейство по результатам проверки признаков, включенных </w:t>
      </w:r>
      <w:proofErr w:type="gramStart"/>
      <w:r>
        <w:t>в</w:t>
      </w:r>
      <w:proofErr w:type="gramEnd"/>
      <w:r>
        <w:t xml:space="preserve"> </w:t>
      </w:r>
      <w:proofErr w:type="gramStart"/>
      <w:r>
        <w:t>классификатор</w:t>
      </w:r>
      <w:proofErr w:type="gramEnd"/>
      <w:r>
        <w:t xml:space="preserve"> признаков финансовых нарушений участников казначейского сопровождения, применяет в соответствии с порядком, предусмотренным </w:t>
      </w:r>
      <w:hyperlink w:anchor="P5">
        <w:r>
          <w:rPr>
            <w:color w:val="0000FF"/>
          </w:rPr>
          <w:t>пунктом 1</w:t>
        </w:r>
      </w:hyperlink>
      <w:r>
        <w:t xml:space="preserve"> настоящей статьи, следующие меры реагирования в отношении участников казначейского сопровождения: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" w:name="P10"/>
      <w:bookmarkEnd w:id="1"/>
      <w:r>
        <w:t>1) приостановление операции на лицевом счете;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2" w:name="P11"/>
      <w:bookmarkEnd w:id="2"/>
      <w:r>
        <w:t>2) предупреждение (информирование) при открытии участникам казначейского сопровождения лицевых счетов или при осуществлении операций на указанных лицевых счетах.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3" w:name="P12"/>
      <w:bookmarkEnd w:id="3"/>
      <w:r>
        <w:t xml:space="preserve">4. </w:t>
      </w:r>
      <w:proofErr w:type="gramStart"/>
      <w:r>
        <w:t xml:space="preserve">Федеральное казначейство в ходе проведения казначейского мониторинга при открытии участникам казначейского сопровождения (за исключением поставщиков (подрядчиков, исполнителей) по государственным (муниципальным) контрактам) лицевых счетов и осуществлении операций на указанных лицевых счетах обеспечивает проверку наличия оснований, указанных в </w:t>
      </w:r>
      <w:hyperlink w:anchor="P19">
        <w:r>
          <w:rPr>
            <w:color w:val="0000FF"/>
          </w:rPr>
          <w:t>пунктах 6</w:t>
        </w:r>
      </w:hyperlink>
      <w:r>
        <w:t xml:space="preserve"> - </w:t>
      </w:r>
      <w:hyperlink w:anchor="P31">
        <w:r>
          <w:rPr>
            <w:color w:val="0000FF"/>
          </w:rPr>
          <w:t>10</w:t>
        </w:r>
      </w:hyperlink>
      <w:r>
        <w:t xml:space="preserve"> настоящей статьи, и при осуществлении операций на лицевых счетах участников казначейского сопровождения обеспечивает проверку наличия оснований, указанных в </w:t>
      </w:r>
      <w:hyperlink w:anchor="P37">
        <w:r>
          <w:rPr>
            <w:color w:val="0000FF"/>
          </w:rPr>
          <w:t>пункте 11</w:t>
        </w:r>
      </w:hyperlink>
      <w:r>
        <w:t xml:space="preserve"> настоящей</w:t>
      </w:r>
      <w:proofErr w:type="gramEnd"/>
      <w:r>
        <w:t xml:space="preserve"> статьи.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9">
        <w:r>
          <w:rPr>
            <w:color w:val="0000FF"/>
          </w:rPr>
          <w:t>закона</w:t>
        </w:r>
      </w:hyperlink>
      <w:r>
        <w:t xml:space="preserve"> от 21.04.2025 N 84-ФЗ)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5. Федеральное казначейство по результатам проверки, указанной в </w:t>
      </w:r>
      <w:hyperlink w:anchor="P12">
        <w:r>
          <w:rPr>
            <w:color w:val="0000FF"/>
          </w:rPr>
          <w:t>пункте 4</w:t>
        </w:r>
      </w:hyperlink>
      <w:r>
        <w:t xml:space="preserve"> настоящей статьи, применяет следующие меры реагирования в отношении участников казначейского сопровождения: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1) отказ в открытии лицевого счета;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2) приостановление открытия лицевого счета;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3) запрет осуществления операций на лицевом счете;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4) отказ в осуществлении операций на лицевом счете.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4" w:name="P19"/>
      <w:bookmarkEnd w:id="4"/>
      <w:r>
        <w:t>6. Основаниями для отказа в открытии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5" w:name="P20"/>
      <w:bookmarkEnd w:id="5"/>
      <w:proofErr w:type="gramStart"/>
      <w:r>
        <w:t xml:space="preserve">1) наличие информации об участнике казначейского сопровождения в перечне организаций </w:t>
      </w:r>
      <w:r>
        <w:lastRenderedPageBreak/>
        <w:t xml:space="preserve">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10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</w:t>
      </w:r>
      <w:proofErr w:type="gramEnd"/>
      <w:r>
        <w:t xml:space="preserve"> или с распространением оружия массового уничтожения;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6" w:name="P22"/>
      <w:bookmarkEnd w:id="6"/>
      <w:r>
        <w:t>2) наличие в отношении участника казначейского сопровождения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2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20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22">
        <w:r>
          <w:rPr>
            <w:color w:val="0000FF"/>
          </w:rPr>
          <w:t>подпункте 2</w:t>
        </w:r>
      </w:hyperlink>
      <w:r>
        <w:t xml:space="preserve"> настоящего пункта;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7" w:name="P25"/>
      <w:bookmarkEnd w:id="7"/>
      <w:proofErr w:type="gramStart"/>
      <w:r>
        <w:t>4) регистрация юридического лица на территории государства, включенного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зоны).</w:t>
      </w:r>
      <w:proofErr w:type="gramEnd"/>
    </w:p>
    <w:p w:rsidR="008D37C4" w:rsidRDefault="008D37C4">
      <w:pPr>
        <w:pStyle w:val="ConsPlusNormal"/>
        <w:spacing w:before="220"/>
        <w:ind w:firstLine="540"/>
        <w:jc w:val="both"/>
      </w:pPr>
      <w:r>
        <w:t>7. Основаниями для приостановления открытия лицевого счета участнику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8" w:name="P27"/>
      <w:bookmarkEnd w:id="8"/>
      <w:r>
        <w:t>1) наличие информац</w:t>
      </w:r>
      <w:proofErr w:type="gramStart"/>
      <w:r>
        <w:t>ии о е</w:t>
      </w:r>
      <w:proofErr w:type="gramEnd"/>
      <w:r>
        <w:t>диноличном исполнительном органе юридического лица в реестре дисквалифицированных лиц, формирование и ведение которого осуществляет уполномоченный Правительством Российской Федерации федеральный орган исполнительной власти;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9" w:name="P28"/>
      <w:bookmarkEnd w:id="9"/>
      <w:r>
        <w:t>2) наличие информации о банкротстве юридического лица, индивидуального предпринимателя, физического лица - производителя товаров, работ, услуг.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8. Федеральное казначейство по результатам проверки по основаниям, указанным в </w:t>
      </w:r>
      <w:hyperlink w:anchor="P27">
        <w:r>
          <w:rPr>
            <w:color w:val="0000FF"/>
          </w:rPr>
          <w:t>подпунктах 1</w:t>
        </w:r>
      </w:hyperlink>
      <w:r>
        <w:t xml:space="preserve"> и </w:t>
      </w:r>
      <w:hyperlink w:anchor="P28">
        <w:r>
          <w:rPr>
            <w:color w:val="0000FF"/>
          </w:rPr>
          <w:t>2 пункта 7</w:t>
        </w:r>
      </w:hyperlink>
      <w:r>
        <w:t xml:space="preserve"> настоящей статьи, в порядке, указанном в </w:t>
      </w:r>
      <w:hyperlink w:anchor="P5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 приостановлении открытия лицевого счета.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9. На основании соответствующего решения государственного (муниципального) заказчика, головного исполнителя (исполнителя) Федеральное казначейство осуществляет открытие лицевого счета или возвращает юридическому лицу, индивидуальному предпринимателю, физическому лицу - производителю товаров, работ, услуг предоставленные в соответствии с порядком открытия лицевых счетов документы.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0" w:name="P31"/>
      <w:bookmarkEnd w:id="10"/>
      <w:r>
        <w:t>10. Основаниями для запрета осуществления операций на лицевом счете участника казначейского сопровождения (за исключением поставщика (подрядчика, исполнителя) по государственному (муниципальному) контракту) являются: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1" w:name="P32"/>
      <w:bookmarkEnd w:id="11"/>
      <w:proofErr w:type="gramStart"/>
      <w:r>
        <w:t xml:space="preserve">1) наличие информации о нем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13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</w:t>
      </w:r>
      <w:r>
        <w:lastRenderedPageBreak/>
        <w:t>организациями и террористами или с</w:t>
      </w:r>
      <w:proofErr w:type="gramEnd"/>
      <w:r>
        <w:t xml:space="preserve"> распространением оружия массового уничтожения;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4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2" w:name="P34"/>
      <w:bookmarkEnd w:id="12"/>
      <w:r>
        <w:t>2) наличие в отношении него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5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3) нахождение юридического лица под контролем юридического или физического лица, включенного в перечни, указанные в </w:t>
      </w:r>
      <w:hyperlink w:anchor="P32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34">
        <w:r>
          <w:rPr>
            <w:color w:val="0000FF"/>
          </w:rPr>
          <w:t>подпункте 2</w:t>
        </w:r>
      </w:hyperlink>
      <w:r>
        <w:t xml:space="preserve"> настоящего пункта.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3" w:name="P37"/>
      <w:bookmarkEnd w:id="13"/>
      <w:r>
        <w:t>11. Основаниями для отказа в осуществлении операции на лицевом счете участника казначейского сопровождения являются: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4" w:name="P38"/>
      <w:bookmarkEnd w:id="14"/>
      <w:proofErr w:type="gramStart"/>
      <w:r>
        <w:t xml:space="preserve">1) наличие информации о юридическом лице, индивидуальном предпринимателе, физическом лице - производителе товаров, работ, услуг, получающих денежные средства от указанного участника казначейского сопровождения, в перечне организаций и физических лиц, в отношении которых имеются сведения об их причастности к экстремистской деятельности или терроризму, либо в составляемых в рамках реализации полномочий, предусмотренных </w:t>
      </w:r>
      <w:hyperlink r:id="rId16">
        <w:r>
          <w:rPr>
            <w:color w:val="0000FF"/>
          </w:rPr>
          <w:t>главой VII</w:t>
        </w:r>
      </w:hyperlink>
      <w:r>
        <w:t xml:space="preserve"> Устава ООН, Советом Безопасности ООН или органами, специально созданными</w:t>
      </w:r>
      <w:proofErr w:type="gramEnd"/>
      <w:r>
        <w:t xml:space="preserve">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7">
        <w:r>
          <w:rPr>
            <w:color w:val="0000FF"/>
          </w:rPr>
          <w:t>закона</w:t>
        </w:r>
      </w:hyperlink>
      <w:r>
        <w:t xml:space="preserve"> от 04.08.2023 N 416-ФЗ)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5" w:name="P40"/>
      <w:bookmarkEnd w:id="15"/>
      <w:r>
        <w:t>2) наличие в отношении юридического лица, индивидуального предпринимателя, физического лица - производителя товаров, работ, услуг, получающих денежные средства от указанного участника казначейского сопровождения, решения межведомственного координационного органа, осуществляющего функции по противодействию финансированию терроризма и экстремистской деятельности, о применении мер по замораживанию (блокированию) денежных средств или иного имущества;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proofErr w:type="gramStart"/>
      <w:r>
        <w:t xml:space="preserve">3) нахождение юридического лица, получающего денежные средства от указанного участника казначейского сопровождения, под контролем юридического или физического лица, включенного в перечни, указанные в </w:t>
      </w:r>
      <w:hyperlink w:anchor="P38">
        <w:r>
          <w:rPr>
            <w:color w:val="0000FF"/>
          </w:rPr>
          <w:t>подпункте 1</w:t>
        </w:r>
      </w:hyperlink>
      <w:r>
        <w:t xml:space="preserve"> настоящего пункта, или в отношении которого вынесено решение, указанное в </w:t>
      </w:r>
      <w:hyperlink w:anchor="P40">
        <w:r>
          <w:rPr>
            <w:color w:val="0000FF"/>
          </w:rPr>
          <w:t>подпункте 2</w:t>
        </w:r>
      </w:hyperlink>
      <w:r>
        <w:t xml:space="preserve"> настоящего пункта.</w:t>
      </w:r>
      <w:proofErr w:type="gramEnd"/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Федеральное казначейство по результатам проверки по основаниям, указанным в </w:t>
      </w:r>
      <w:hyperlink w:anchor="P20">
        <w:r>
          <w:rPr>
            <w:color w:val="0000FF"/>
          </w:rPr>
          <w:t>подпунктах 1</w:t>
        </w:r>
      </w:hyperlink>
      <w:r>
        <w:t xml:space="preserve"> - </w:t>
      </w:r>
      <w:hyperlink w:anchor="P25">
        <w:r>
          <w:rPr>
            <w:color w:val="0000FF"/>
          </w:rPr>
          <w:t>4 пункта 6</w:t>
        </w:r>
      </w:hyperlink>
      <w:r>
        <w:t xml:space="preserve">, </w:t>
      </w:r>
      <w:hyperlink w:anchor="P31">
        <w:r>
          <w:rPr>
            <w:color w:val="0000FF"/>
          </w:rPr>
          <w:t>пунктах 10</w:t>
        </w:r>
      </w:hyperlink>
      <w:r>
        <w:t xml:space="preserve"> и </w:t>
      </w:r>
      <w:hyperlink w:anchor="P37">
        <w:r>
          <w:rPr>
            <w:color w:val="0000FF"/>
          </w:rPr>
          <w:t>11</w:t>
        </w:r>
      </w:hyperlink>
      <w:r>
        <w:t xml:space="preserve"> настоящей статьи, в порядке, указанном в </w:t>
      </w:r>
      <w:hyperlink w:anchor="P5">
        <w:r>
          <w:rPr>
            <w:color w:val="0000FF"/>
          </w:rPr>
          <w:t>пункте 1</w:t>
        </w:r>
      </w:hyperlink>
      <w:r>
        <w:t xml:space="preserve"> настоящей статьи, информирует государственного (муниципального) заказчика, головного исполнителя (исполнителя) об отказе в открытии лицевого счета, о запрете проведения операций и об отказе в проведении операции.</w:t>
      </w:r>
      <w:proofErr w:type="gramEnd"/>
    </w:p>
    <w:p w:rsidR="008D37C4" w:rsidRDefault="008D37C4">
      <w:pPr>
        <w:pStyle w:val="ConsPlusNormal"/>
        <w:spacing w:before="220"/>
        <w:ind w:firstLine="540"/>
        <w:jc w:val="both"/>
      </w:pPr>
      <w:bookmarkStart w:id="16" w:name="P44"/>
      <w:bookmarkEnd w:id="16"/>
      <w:r>
        <w:t xml:space="preserve">13. </w:t>
      </w:r>
      <w:proofErr w:type="gramStart"/>
      <w:r>
        <w:t xml:space="preserve">Федеральное казначейство для применения мер реагирования, указанных в </w:t>
      </w:r>
      <w:hyperlink w:anchor="P10">
        <w:r>
          <w:rPr>
            <w:color w:val="0000FF"/>
          </w:rPr>
          <w:t>подпунктах 1</w:t>
        </w:r>
      </w:hyperlink>
      <w:r>
        <w:t xml:space="preserve"> и </w:t>
      </w:r>
      <w:hyperlink w:anchor="P11">
        <w:r>
          <w:rPr>
            <w:color w:val="0000FF"/>
          </w:rPr>
          <w:t>2 пункта 3</w:t>
        </w:r>
      </w:hyperlink>
      <w:r>
        <w:t xml:space="preserve"> настоящей статьи, использует классификатор признаков финансовых нарушений участников казначейского сопровождения, формирование и ведение которого осуществляется Федеральным казначейством в </w:t>
      </w:r>
      <w:hyperlink r:id="rId19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 по согласованию с органом, осуществляющим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</w:t>
      </w:r>
      <w:proofErr w:type="gramEnd"/>
      <w:r>
        <w:t xml:space="preserve"> массового уничтожения.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lastRenderedPageBreak/>
        <w:t>14. Федеральное казначейство в порядке, установленном Правительством Российской Федерации, информирует органы, осуществляющие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уничтожения: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21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1) о каждом факте открытия лицевого счета после приостановления его открытия;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2) о каждом факте запрета осуществления или отказа в осуществлении операции на лицевом счете;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3) о каждой операции по перечислению средств на лицевых счетах участников системы казначейских платежей, если сумма совершаемой операции превышает 50 миллионов рублей;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>4) о каждой операции по переводу денежных средств на банковские счета, открытые в кредитных организациях, при исполнении контракта на сумму совершаемой операции свыше 1 миллиона рублей.</w:t>
      </w:r>
    </w:p>
    <w:p w:rsidR="008D37C4" w:rsidRDefault="008D37C4">
      <w:pPr>
        <w:pStyle w:val="ConsPlusNormal"/>
        <w:spacing w:before="220"/>
        <w:ind w:firstLine="540"/>
        <w:jc w:val="both"/>
      </w:pPr>
      <w:bookmarkStart w:id="17" w:name="P52"/>
      <w:bookmarkEnd w:id="17"/>
      <w:r>
        <w:t xml:space="preserve">15. </w:t>
      </w:r>
      <w:proofErr w:type="gramStart"/>
      <w:r>
        <w:t xml:space="preserve">Федеральное казначейство при исполнении полномочий, предусмотренных настоящим Кодексом, обменивается информацией, в том числе информацией, доступ к которой ограничен федеральными законами, с налоговыми органами, таможенными органами, антимонопольными органами, органами, осуществляющими функции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органами, осуществляющими мониторинг, контроль и аудит в сфере закупок, в </w:t>
      </w:r>
      <w:hyperlink r:id="rId22">
        <w:r>
          <w:rPr>
            <w:color w:val="0000FF"/>
          </w:rPr>
          <w:t>случаях</w:t>
        </w:r>
      </w:hyperlink>
      <w:r>
        <w:t xml:space="preserve"> и</w:t>
      </w:r>
      <w:proofErr w:type="gramEnd"/>
      <w:r>
        <w:t xml:space="preserve"> </w:t>
      </w:r>
      <w:hyperlink r:id="rId23">
        <w:r>
          <w:rPr>
            <w:color w:val="0000FF"/>
          </w:rPr>
          <w:t>порядке</w:t>
        </w:r>
      </w:hyperlink>
      <w:r>
        <w:t xml:space="preserve">, </w:t>
      </w:r>
      <w:proofErr w:type="gramStart"/>
      <w:r>
        <w:t>установленных</w:t>
      </w:r>
      <w:proofErr w:type="gramEnd"/>
      <w:r>
        <w:t xml:space="preserve"> Правительством Российской Федерации.</w:t>
      </w:r>
    </w:p>
    <w:p w:rsidR="008D37C4" w:rsidRDefault="008D37C4">
      <w:pPr>
        <w:pStyle w:val="ConsPlusNormal"/>
        <w:jc w:val="both"/>
      </w:pPr>
      <w:r>
        <w:t xml:space="preserve">(в ред.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28.02.2025 N 17-ФЗ)</w:t>
      </w:r>
    </w:p>
    <w:p w:rsidR="008D37C4" w:rsidRDefault="008D37C4">
      <w:pPr>
        <w:pStyle w:val="ConsPlusNormal"/>
        <w:spacing w:before="220"/>
        <w:ind w:firstLine="540"/>
        <w:jc w:val="both"/>
      </w:pPr>
      <w:r>
        <w:t xml:space="preserve">16. Обмен информацией, предусмотренный </w:t>
      </w:r>
      <w:hyperlink w:anchor="P52">
        <w:r>
          <w:rPr>
            <w:color w:val="0000FF"/>
          </w:rPr>
          <w:t>пунктом 15</w:t>
        </w:r>
      </w:hyperlink>
      <w:r>
        <w:t xml:space="preserve"> настоящей статьи, осуществляется с учетом требований законодательства Российской Федерации о государственной и иной охраняемой законом тайне.</w:t>
      </w:r>
    </w:p>
    <w:p w:rsidR="008D37C4" w:rsidRDefault="00796F4B">
      <w:pPr>
        <w:pStyle w:val="ConsPlusNormal"/>
      </w:pPr>
      <w:hyperlink r:id="rId25">
        <w:r w:rsidR="008D37C4">
          <w:rPr>
            <w:i/>
            <w:color w:val="0000FF"/>
          </w:rPr>
          <w:br/>
          <w:t>ст. «242.13-1»</w:t>
        </w:r>
        <w:r>
          <w:rPr>
            <w:i/>
            <w:color w:val="0000FF"/>
          </w:rPr>
          <w:t xml:space="preserve"> БК РФ </w:t>
        </w:r>
        <w:bookmarkStart w:id="18" w:name="_GoBack"/>
        <w:bookmarkEnd w:id="18"/>
      </w:hyperlink>
      <w:r>
        <w:t xml:space="preserve"> </w:t>
      </w:r>
      <w:r w:rsidR="008D37C4">
        <w:br/>
      </w:r>
    </w:p>
    <w:p w:rsidR="009D16E3" w:rsidRDefault="00796F4B"/>
    <w:sectPr w:rsidR="009D16E3" w:rsidSect="007D1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7C4"/>
    <w:rsid w:val="003E5C48"/>
    <w:rsid w:val="00796F4B"/>
    <w:rsid w:val="008D37C4"/>
    <w:rsid w:val="00FE2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3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D3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D37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3576&amp;dst=100038" TargetMode="External"/><Relationship Id="rId13" Type="http://schemas.openxmlformats.org/officeDocument/2006/relationships/hyperlink" Target="https://login.consultant.ru/link/?req=doc&amp;base=LAW&amp;n=121087&amp;dst=100142" TargetMode="External"/><Relationship Id="rId18" Type="http://schemas.openxmlformats.org/officeDocument/2006/relationships/hyperlink" Target="https://login.consultant.ru/link/?req=doc&amp;base=LAW&amp;n=499969&amp;dst=100012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499969&amp;dst=100014" TargetMode="External"/><Relationship Id="rId7" Type="http://schemas.openxmlformats.org/officeDocument/2006/relationships/hyperlink" Target="https://login.consultant.ru/link/?req=doc&amp;base=LAW&amp;n=503576&amp;dst=100037" TargetMode="External"/><Relationship Id="rId12" Type="http://schemas.openxmlformats.org/officeDocument/2006/relationships/hyperlink" Target="https://login.consultant.ru/link/?req=doc&amp;base=LAW&amp;n=499969&amp;dst=100010" TargetMode="External"/><Relationship Id="rId17" Type="http://schemas.openxmlformats.org/officeDocument/2006/relationships/hyperlink" Target="https://login.consultant.ru/link/?req=doc&amp;base=LAW&amp;n=453900&amp;dst=100125" TargetMode="External"/><Relationship Id="rId25" Type="http://schemas.openxmlformats.org/officeDocument/2006/relationships/hyperlink" Target="https://login.consultant.ru/link/?req=doc&amp;base=LAW&amp;n=511241&amp;dst=788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121087&amp;dst=100142" TargetMode="External"/><Relationship Id="rId20" Type="http://schemas.openxmlformats.org/officeDocument/2006/relationships/hyperlink" Target="https://login.consultant.ru/link/?req=doc&amp;base=LAW&amp;n=499969&amp;dst=100013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01699&amp;dst=100125" TargetMode="External"/><Relationship Id="rId11" Type="http://schemas.openxmlformats.org/officeDocument/2006/relationships/hyperlink" Target="https://login.consultant.ru/link/?req=doc&amp;base=LAW&amp;n=453900&amp;dst=100123" TargetMode="External"/><Relationship Id="rId24" Type="http://schemas.openxmlformats.org/officeDocument/2006/relationships/hyperlink" Target="https://login.consultant.ru/link/?req=doc&amp;base=LAW&amp;n=499969&amp;dst=100015" TargetMode="External"/><Relationship Id="rId5" Type="http://schemas.openxmlformats.org/officeDocument/2006/relationships/hyperlink" Target="https://login.consultant.ru/link/?req=doc&amp;base=LAW&amp;n=503576&amp;dst=100035" TargetMode="External"/><Relationship Id="rId15" Type="http://schemas.openxmlformats.org/officeDocument/2006/relationships/hyperlink" Target="https://login.consultant.ru/link/?req=doc&amp;base=LAW&amp;n=499969&amp;dst=100011" TargetMode="External"/><Relationship Id="rId23" Type="http://schemas.openxmlformats.org/officeDocument/2006/relationships/hyperlink" Target="https://login.consultant.ru/link/?req=doc&amp;base=LAW&amp;n=502849&amp;dst=100014" TargetMode="External"/><Relationship Id="rId10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yperlink" Target="https://login.consultant.ru/link/?req=doc&amp;base=LAW&amp;n=514700&amp;dst=1000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3576&amp;dst=100039" TargetMode="External"/><Relationship Id="rId14" Type="http://schemas.openxmlformats.org/officeDocument/2006/relationships/hyperlink" Target="https://login.consultant.ru/link/?req=doc&amp;base=LAW&amp;n=453900&amp;dst=100124" TargetMode="External"/><Relationship Id="rId22" Type="http://schemas.openxmlformats.org/officeDocument/2006/relationships/hyperlink" Target="https://login.consultant.ru/link/?req=doc&amp;base=LAW&amp;n=502849&amp;dst=100005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Телес Дарина Владимировна</dc:creator>
  <cp:lastModifiedBy>Телес Дарина Владимировна</cp:lastModifiedBy>
  <cp:revision>2</cp:revision>
  <dcterms:created xsi:type="dcterms:W3CDTF">2025-11-07T06:55:00Z</dcterms:created>
  <dcterms:modified xsi:type="dcterms:W3CDTF">2025-11-07T08:07:00Z</dcterms:modified>
</cp:coreProperties>
</file>