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2A188A">
        <w:tc>
          <w:tcPr>
            <w:tcW w:w="4677" w:type="dxa"/>
          </w:tcPr>
          <w:p w:rsidR="002A188A" w:rsidRDefault="002A18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 июля 1998 года</w:t>
            </w:r>
          </w:p>
        </w:tc>
        <w:tc>
          <w:tcPr>
            <w:tcW w:w="4677" w:type="dxa"/>
          </w:tcPr>
          <w:p w:rsidR="002A188A" w:rsidRDefault="002A18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145-ФЗ</w:t>
            </w:r>
          </w:p>
        </w:tc>
      </w:tr>
    </w:tbl>
    <w:p w:rsidR="002A188A" w:rsidRDefault="002A188A" w:rsidP="002A188A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БЮДЖЕТНЫЙ КОДЕКС РОССИЙСКОЙ ФЕДЕРАЦИИ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17 июля 1998 года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17 июля 1998 года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242.13-1. Казначейский мониторинг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5B1647">
        <w:rPr>
          <w:rFonts w:ascii="Calibri" w:hAnsi="Calibri" w:cs="Calibri"/>
        </w:rPr>
        <w:t xml:space="preserve">(в ред. Федерального </w:t>
      </w:r>
      <w:hyperlink r:id="rId5" w:history="1">
        <w:r w:rsidRPr="005B1647">
          <w:rPr>
            <w:rFonts w:ascii="Calibri" w:hAnsi="Calibri" w:cs="Calibri"/>
            <w:color w:val="0000FF"/>
          </w:rPr>
          <w:t>закона</w:t>
        </w:r>
      </w:hyperlink>
      <w:r w:rsidRPr="005B1647">
        <w:rPr>
          <w:rFonts w:ascii="Calibri" w:hAnsi="Calibri" w:cs="Calibri"/>
        </w:rPr>
        <w:t xml:space="preserve"> от 24.06.2025 N 158-ФЗ)</w:t>
      </w: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A188A" w:rsidRDefault="002A188A" w:rsidP="002A18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4"/>
      <w:bookmarkEnd w:id="0"/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Федеральное казначейство в </w:t>
      </w:r>
      <w:hyperlink r:id="rId6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Правительством Российской Федерации, с соблюдением положений и требований, определенных настоящей статьей, проводит казначейский мониторинг (далее в настоящей статье - порядок проведения казначейского мониторинга) и применяет меры реагирования при открытии лицевых счетов участникам системы казначейских платежей в территориальных органах Федерального казначейства, финансовых органах субъектов Российской Федерации (муниципальных образований), органах управления государственными внебюджетными фондами Российской Федерации и при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осуществлении</w:t>
      </w:r>
      <w:proofErr w:type="gramEnd"/>
      <w:r>
        <w:rPr>
          <w:rFonts w:ascii="Calibri" w:hAnsi="Calibri" w:cs="Calibri"/>
        </w:rPr>
        <w:t xml:space="preserve"> операций на указанных лицевых счетах.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Федеральное казначейство в ходе проведения казначейского мониторинга, предусмотренного </w:t>
      </w:r>
      <w:hyperlink w:anchor="Par4" w:history="1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</w:t>
      </w:r>
      <w:bookmarkStart w:id="1" w:name="_GoBack"/>
      <w:bookmarkEnd w:id="1"/>
      <w:r>
        <w:rPr>
          <w:rFonts w:ascii="Calibri" w:hAnsi="Calibri" w:cs="Calibri"/>
        </w:rPr>
        <w:t>й статьи, в соответствии с порядком проведения казначейского мониторинга осуществляет проверку наличия в отношении участника системы казначейских платежей или юридического лица, индивидуального предпринимателя, физического лица - производителя товаров, работ, услуг, получающих денежные средства от участника системы казначейских платежей, информации: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2" w:name="Par6"/>
      <w:bookmarkEnd w:id="2"/>
      <w:proofErr w:type="gramStart"/>
      <w:r>
        <w:rPr>
          <w:rFonts w:ascii="Calibri" w:hAnsi="Calibri" w:cs="Calibri"/>
        </w:rPr>
        <w:t xml:space="preserve">1)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7" w:history="1">
        <w:r>
          <w:rPr>
            <w:rFonts w:ascii="Calibri" w:hAnsi="Calibri" w:cs="Calibri"/>
            <w:color w:val="0000FF"/>
          </w:rPr>
          <w:t>главой VII</w:t>
        </w:r>
      </w:hyperlink>
      <w:r>
        <w:rPr>
          <w:rFonts w:ascii="Calibri" w:hAnsi="Calibri" w:cs="Calibri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3" w:name="Par7"/>
      <w:bookmarkEnd w:id="3"/>
      <w:r>
        <w:rPr>
          <w:rFonts w:ascii="Calibri" w:hAnsi="Calibri" w:cs="Calibri"/>
        </w:rPr>
        <w:t>2) о решении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4" w:name="Par8"/>
      <w:bookmarkEnd w:id="4"/>
      <w:r>
        <w:rPr>
          <w:rFonts w:ascii="Calibri" w:hAnsi="Calibri" w:cs="Calibri"/>
        </w:rPr>
        <w:t>3) в реестре иностранных агентов;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5" w:name="Par9"/>
      <w:bookmarkEnd w:id="5"/>
      <w:proofErr w:type="gramStart"/>
      <w:r>
        <w:rPr>
          <w:rFonts w:ascii="Calibri" w:hAnsi="Calibri" w:cs="Calibri"/>
        </w:rPr>
        <w:t>4)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лиц;</w:t>
      </w:r>
      <w:proofErr w:type="gramEnd"/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5) о нахождении под контролем юридического лица или физического лица, </w:t>
      </w:r>
      <w:proofErr w:type="gramStart"/>
      <w:r>
        <w:rPr>
          <w:rFonts w:ascii="Calibri" w:hAnsi="Calibri" w:cs="Calibri"/>
        </w:rPr>
        <w:t>включенных</w:t>
      </w:r>
      <w:proofErr w:type="gramEnd"/>
      <w:r>
        <w:rPr>
          <w:rFonts w:ascii="Calibri" w:hAnsi="Calibri" w:cs="Calibri"/>
        </w:rPr>
        <w:t xml:space="preserve"> в перечни, указанные в </w:t>
      </w:r>
      <w:hyperlink w:anchor="Par6" w:history="1">
        <w:r>
          <w:rPr>
            <w:rFonts w:ascii="Calibri" w:hAnsi="Calibri" w:cs="Calibri"/>
            <w:color w:val="0000FF"/>
          </w:rPr>
          <w:t>подпункте 1</w:t>
        </w:r>
      </w:hyperlink>
      <w:r>
        <w:rPr>
          <w:rFonts w:ascii="Calibri" w:hAnsi="Calibri" w:cs="Calibri"/>
        </w:rPr>
        <w:t xml:space="preserve"> настоящего пункта, или в отношении которых вынесено решение, указанное в </w:t>
      </w:r>
      <w:hyperlink w:anchor="Par7" w:history="1">
        <w:r>
          <w:rPr>
            <w:rFonts w:ascii="Calibri" w:hAnsi="Calibri" w:cs="Calibri"/>
            <w:color w:val="0000FF"/>
          </w:rPr>
          <w:t>подпункте 2</w:t>
        </w:r>
      </w:hyperlink>
      <w:r>
        <w:rPr>
          <w:rFonts w:ascii="Calibri" w:hAnsi="Calibri" w:cs="Calibri"/>
        </w:rPr>
        <w:t xml:space="preserve"> настоящего пункта, или в отношении которых применяются меры, указанные в </w:t>
      </w:r>
      <w:hyperlink w:anchor="Par9" w:history="1">
        <w:r>
          <w:rPr>
            <w:rFonts w:ascii="Calibri" w:hAnsi="Calibri" w:cs="Calibri"/>
            <w:color w:val="0000FF"/>
          </w:rPr>
          <w:t>подпункте 4</w:t>
        </w:r>
      </w:hyperlink>
      <w:r>
        <w:rPr>
          <w:rFonts w:ascii="Calibri" w:hAnsi="Calibri" w:cs="Calibri"/>
        </w:rPr>
        <w:t xml:space="preserve"> настоящего пункта;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6" w:name="Par11"/>
      <w:bookmarkEnd w:id="6"/>
      <w:proofErr w:type="gramStart"/>
      <w:r>
        <w:rPr>
          <w:rFonts w:ascii="Calibri" w:hAnsi="Calibri" w:cs="Calibri"/>
        </w:rPr>
        <w:t xml:space="preserve">6) о включении лица, имеющего право без доверенности действовать от имени юридического лица, в перечни и (или) в реестр, указанные соответственно в </w:t>
      </w:r>
      <w:hyperlink w:anchor="Par6" w:history="1">
        <w:r>
          <w:rPr>
            <w:rFonts w:ascii="Calibri" w:hAnsi="Calibri" w:cs="Calibri"/>
            <w:color w:val="0000FF"/>
          </w:rPr>
          <w:t>подпунктах 1</w:t>
        </w:r>
      </w:hyperlink>
      <w:r>
        <w:rPr>
          <w:rFonts w:ascii="Calibri" w:hAnsi="Calibri" w:cs="Calibri"/>
        </w:rPr>
        <w:t xml:space="preserve"> и </w:t>
      </w:r>
      <w:hyperlink w:anchor="Par8" w:history="1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 настоящего пункта, или о вынесении в отношении такого лица решения, указанного в </w:t>
      </w:r>
      <w:hyperlink w:anchor="Par7" w:history="1">
        <w:r>
          <w:rPr>
            <w:rFonts w:ascii="Calibri" w:hAnsi="Calibri" w:cs="Calibri"/>
            <w:color w:val="0000FF"/>
          </w:rPr>
          <w:t>подпункте 2</w:t>
        </w:r>
      </w:hyperlink>
      <w:r>
        <w:rPr>
          <w:rFonts w:ascii="Calibri" w:hAnsi="Calibri" w:cs="Calibri"/>
        </w:rPr>
        <w:t xml:space="preserve"> настоящего пункта, или о применении в отношении такого лица мер, указанных в </w:t>
      </w:r>
      <w:hyperlink w:anchor="Par9" w:history="1">
        <w:r>
          <w:rPr>
            <w:rFonts w:ascii="Calibri" w:hAnsi="Calibri" w:cs="Calibri"/>
            <w:color w:val="0000FF"/>
          </w:rPr>
          <w:t>подпункте 4</w:t>
        </w:r>
      </w:hyperlink>
      <w:r>
        <w:rPr>
          <w:rFonts w:ascii="Calibri" w:hAnsi="Calibri" w:cs="Calibri"/>
        </w:rPr>
        <w:t xml:space="preserve"> настоящего пункта;</w:t>
      </w:r>
      <w:proofErr w:type="gramEnd"/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7" w:name="Par12"/>
      <w:bookmarkEnd w:id="7"/>
      <w:r>
        <w:rPr>
          <w:rFonts w:ascii="Calibri" w:hAnsi="Calibri" w:cs="Calibri"/>
        </w:rPr>
        <w:t>7)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8" w:name="Par13"/>
      <w:bookmarkEnd w:id="8"/>
      <w:r>
        <w:rPr>
          <w:rFonts w:ascii="Calibri" w:hAnsi="Calibri" w:cs="Calibri"/>
        </w:rPr>
        <w:t>8) о признании банкротом юридического лица, индивидуального предпринимателя, физического лица - производителя товаров, работ, услуг;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9) о признаках финансовых нарушений, включенных в классификатор признаков финансовых нарушений участников системы казначейских платежей, формирование и </w:t>
      </w:r>
      <w:proofErr w:type="gramStart"/>
      <w:r>
        <w:rPr>
          <w:rFonts w:ascii="Calibri" w:hAnsi="Calibri" w:cs="Calibri"/>
        </w:rPr>
        <w:t>ведение</w:t>
      </w:r>
      <w:proofErr w:type="gramEnd"/>
      <w:r>
        <w:rPr>
          <w:rFonts w:ascii="Calibri" w:hAnsi="Calibri" w:cs="Calibri"/>
        </w:rPr>
        <w:t xml:space="preserve"> которого осуществляются Федеральным казначейством в </w:t>
      </w:r>
      <w:hyperlink r:id="rId8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Министерством финансов Российской Федерации по согласованию с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(далее в настоящей статье - классификатор признаков финансовых нарушений).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Федеральное казначейство по результатам проверки наличия информации, предусмотренной </w:t>
      </w:r>
      <w:hyperlink w:anchor="Par6" w:history="1">
        <w:r>
          <w:rPr>
            <w:rFonts w:ascii="Calibri" w:hAnsi="Calibri" w:cs="Calibri"/>
            <w:color w:val="0000FF"/>
          </w:rPr>
          <w:t>подпунктами 1</w:t>
        </w:r>
      </w:hyperlink>
      <w:r>
        <w:rPr>
          <w:rFonts w:ascii="Calibri" w:hAnsi="Calibri" w:cs="Calibri"/>
        </w:rPr>
        <w:t xml:space="preserve"> - </w:t>
      </w:r>
      <w:hyperlink w:anchor="Par13" w:history="1">
        <w:r>
          <w:rPr>
            <w:rFonts w:ascii="Calibri" w:hAnsi="Calibri" w:cs="Calibri"/>
            <w:color w:val="0000FF"/>
          </w:rPr>
          <w:t>8 пункта 2</w:t>
        </w:r>
      </w:hyperlink>
      <w:r>
        <w:rPr>
          <w:rFonts w:ascii="Calibri" w:hAnsi="Calibri" w:cs="Calibri"/>
        </w:rPr>
        <w:t xml:space="preserve"> настоящей статьи, в случаях, указанных в </w:t>
      </w:r>
      <w:hyperlink w:anchor="Par20" w:history="1">
        <w:r>
          <w:rPr>
            <w:rFonts w:ascii="Calibri" w:hAnsi="Calibri" w:cs="Calibri"/>
            <w:color w:val="0000FF"/>
          </w:rPr>
          <w:t>пунктах 4</w:t>
        </w:r>
      </w:hyperlink>
      <w:r>
        <w:rPr>
          <w:rFonts w:ascii="Calibri" w:hAnsi="Calibri" w:cs="Calibri"/>
        </w:rPr>
        <w:t xml:space="preserve">, </w:t>
      </w:r>
      <w:hyperlink w:anchor="Par21" w:history="1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, </w:t>
      </w:r>
      <w:hyperlink w:anchor="Par24" w:history="1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и </w:t>
      </w:r>
      <w:hyperlink w:anchor="Par25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настоящей статьи, применяет в отношении участников системы казначейских </w:t>
      </w:r>
      <w:proofErr w:type="gramStart"/>
      <w:r>
        <w:rPr>
          <w:rFonts w:ascii="Calibri" w:hAnsi="Calibri" w:cs="Calibri"/>
        </w:rPr>
        <w:t>платежей</w:t>
      </w:r>
      <w:proofErr w:type="gramEnd"/>
      <w:r>
        <w:rPr>
          <w:rFonts w:ascii="Calibri" w:hAnsi="Calibri" w:cs="Calibri"/>
        </w:rPr>
        <w:t xml:space="preserve"> следующие меры реагирования: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9" w:name="Par16"/>
      <w:bookmarkEnd w:id="9"/>
      <w:r>
        <w:rPr>
          <w:rFonts w:ascii="Calibri" w:hAnsi="Calibri" w:cs="Calibri"/>
        </w:rPr>
        <w:t>1) отказ в открытии лицевого счета;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приостановление открытия лицевого счета;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0" w:name="Par18"/>
      <w:bookmarkEnd w:id="10"/>
      <w:r>
        <w:rPr>
          <w:rFonts w:ascii="Calibri" w:hAnsi="Calibri" w:cs="Calibri"/>
        </w:rPr>
        <w:t>3) запрет осуществления операций на лицевом счете;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отказ в осуществлении операции на лицевом счете.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1" w:name="Par20"/>
      <w:bookmarkEnd w:id="11"/>
      <w:r>
        <w:rPr>
          <w:rFonts w:ascii="Calibri" w:hAnsi="Calibri" w:cs="Calibri"/>
        </w:rPr>
        <w:t xml:space="preserve">4. Основанием для отказа в открытии лицевого счета получателю средств из бюджета, участнику казначейского сопровождения (за исключением поставщика (подрядчика, исполнителя) по государственному (муниципальному) контракту) является наличие в отношении получателя средств из бюджета, участника казначейского сопровождения информации, указанной в </w:t>
      </w:r>
      <w:hyperlink w:anchor="Par6" w:history="1">
        <w:r>
          <w:rPr>
            <w:rFonts w:ascii="Calibri" w:hAnsi="Calibri" w:cs="Calibri"/>
            <w:color w:val="0000FF"/>
          </w:rPr>
          <w:t>подпунктах 1</w:t>
        </w:r>
      </w:hyperlink>
      <w:r>
        <w:rPr>
          <w:rFonts w:ascii="Calibri" w:hAnsi="Calibri" w:cs="Calibri"/>
        </w:rPr>
        <w:t xml:space="preserve"> - </w:t>
      </w:r>
      <w:hyperlink w:anchor="Par11" w:history="1">
        <w:r>
          <w:rPr>
            <w:rFonts w:ascii="Calibri" w:hAnsi="Calibri" w:cs="Calibri"/>
            <w:color w:val="0000FF"/>
          </w:rPr>
          <w:t>6 пункта 2</w:t>
        </w:r>
      </w:hyperlink>
      <w:r>
        <w:rPr>
          <w:rFonts w:ascii="Calibri" w:hAnsi="Calibri" w:cs="Calibri"/>
        </w:rPr>
        <w:t xml:space="preserve"> настоящей статьи.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2" w:name="Par21"/>
      <w:bookmarkEnd w:id="12"/>
      <w:r>
        <w:rPr>
          <w:rFonts w:ascii="Calibri" w:hAnsi="Calibri" w:cs="Calibri"/>
        </w:rPr>
        <w:t xml:space="preserve">5. Основанием для приостановления открытия лицевого счета получателю средств из бюджета, участнику казначейского сопровождения (за исключением поставщика (подрядчика, исполнителя) по государственному (муниципальному) контракту) является наличие информации, указанной в </w:t>
      </w:r>
      <w:hyperlink w:anchor="Par12" w:history="1">
        <w:r>
          <w:rPr>
            <w:rFonts w:ascii="Calibri" w:hAnsi="Calibri" w:cs="Calibri"/>
            <w:color w:val="0000FF"/>
          </w:rPr>
          <w:t>подпунктах 7</w:t>
        </w:r>
      </w:hyperlink>
      <w:r>
        <w:rPr>
          <w:rFonts w:ascii="Calibri" w:hAnsi="Calibri" w:cs="Calibri"/>
        </w:rPr>
        <w:t xml:space="preserve"> и </w:t>
      </w:r>
      <w:hyperlink w:anchor="Par13" w:history="1">
        <w:r>
          <w:rPr>
            <w:rFonts w:ascii="Calibri" w:hAnsi="Calibri" w:cs="Calibri"/>
            <w:color w:val="0000FF"/>
          </w:rPr>
          <w:t>8 пункта 2</w:t>
        </w:r>
      </w:hyperlink>
      <w:r>
        <w:rPr>
          <w:rFonts w:ascii="Calibri" w:hAnsi="Calibri" w:cs="Calibri"/>
        </w:rPr>
        <w:t xml:space="preserve"> настоящей статьи.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3" w:name="Par22"/>
      <w:bookmarkEnd w:id="13"/>
      <w:r>
        <w:rPr>
          <w:rFonts w:ascii="Calibri" w:hAnsi="Calibri" w:cs="Calibri"/>
        </w:rPr>
        <w:t xml:space="preserve">6. </w:t>
      </w:r>
      <w:proofErr w:type="gramStart"/>
      <w:r>
        <w:rPr>
          <w:rFonts w:ascii="Calibri" w:hAnsi="Calibri" w:cs="Calibri"/>
        </w:rPr>
        <w:t xml:space="preserve">Федеральное казначейство по результатам проверки наличия информации, указанной в </w:t>
      </w:r>
      <w:hyperlink w:anchor="Par12" w:history="1">
        <w:r>
          <w:rPr>
            <w:rFonts w:ascii="Calibri" w:hAnsi="Calibri" w:cs="Calibri"/>
            <w:color w:val="0000FF"/>
          </w:rPr>
          <w:t>подпунктах 7</w:t>
        </w:r>
      </w:hyperlink>
      <w:r>
        <w:rPr>
          <w:rFonts w:ascii="Calibri" w:hAnsi="Calibri" w:cs="Calibri"/>
        </w:rPr>
        <w:t xml:space="preserve"> и </w:t>
      </w:r>
      <w:hyperlink w:anchor="Par13" w:history="1">
        <w:r>
          <w:rPr>
            <w:rFonts w:ascii="Calibri" w:hAnsi="Calibri" w:cs="Calibri"/>
            <w:color w:val="0000FF"/>
          </w:rPr>
          <w:t>8 пункта 2</w:t>
        </w:r>
      </w:hyperlink>
      <w:r>
        <w:rPr>
          <w:rFonts w:ascii="Calibri" w:hAnsi="Calibri" w:cs="Calibri"/>
        </w:rPr>
        <w:t xml:space="preserve"> настоящей статьи, информирует главного распорядителя бюджетных средств, предоставившего субсидию (бюджетные инвестиции) (далее в настоящей статье - главный распорядитель бюджетных средств), получателя субсидии (бюджетных инвестиций), поставщика (подрядчика, исполнителя) по государственному (муниципальному) контракту, </w:t>
      </w:r>
      <w:r>
        <w:rPr>
          <w:rFonts w:ascii="Calibri" w:hAnsi="Calibri" w:cs="Calibri"/>
        </w:rPr>
        <w:lastRenderedPageBreak/>
        <w:t>контракту (договору), являющегося заказчиком по контракту (договору) (далее в настоящей статье - заказчик по контракту (договору</w:t>
      </w:r>
      <w:proofErr w:type="gramEnd"/>
      <w:r>
        <w:rPr>
          <w:rFonts w:ascii="Calibri" w:hAnsi="Calibri" w:cs="Calibri"/>
        </w:rPr>
        <w:t>), о приостановлении открытия лицевого счета в соответствии с порядком проведения казначейского мониторинга.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 xml:space="preserve">Федеральное казначейство, финансовый орган субъекта Российской Федерации (муниципального образования) в соответствии с решением главного распорядителя бюджетных средств или заказчика по контракту (договору), принятым в соответствии с порядком проведения казначейского мониторинга на основании информации, полученной в соответствии с </w:t>
      </w:r>
      <w:hyperlink w:anchor="Par22" w:history="1">
        <w:r>
          <w:rPr>
            <w:rFonts w:ascii="Calibri" w:hAnsi="Calibri" w:cs="Calibri"/>
            <w:color w:val="0000FF"/>
          </w:rPr>
          <w:t>пунктом 6</w:t>
        </w:r>
      </w:hyperlink>
      <w:r>
        <w:rPr>
          <w:rFonts w:ascii="Calibri" w:hAnsi="Calibri" w:cs="Calibri"/>
        </w:rPr>
        <w:t xml:space="preserve"> настоящей статьи, осуществляют открытие лицевого счета или возвращают получателю средств из бюджета, участнику казначейского сопровождения (за исключением поставщика (подрядчика, исполнителя) по</w:t>
      </w:r>
      <w:proofErr w:type="gramEnd"/>
      <w:r>
        <w:rPr>
          <w:rFonts w:ascii="Calibri" w:hAnsi="Calibri" w:cs="Calibri"/>
        </w:rPr>
        <w:t xml:space="preserve"> государственному (муниципальному) контракту) документы, представленные в соответствии с порядком открытия лицевых счетов.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4" w:name="Par24"/>
      <w:bookmarkEnd w:id="14"/>
      <w:r>
        <w:rPr>
          <w:rFonts w:ascii="Calibri" w:hAnsi="Calibri" w:cs="Calibri"/>
        </w:rPr>
        <w:t xml:space="preserve">8. Основанием для запрета осуществления операций на лицевом счете получателя средств из бюджета, участника казначейского сопровождения (за исключением поставщика (подрядчика, исполнителя) по государственному (муниципальному) контракту) является наличие в отношении его информации, указанной в </w:t>
      </w:r>
      <w:hyperlink w:anchor="Par6" w:history="1">
        <w:r>
          <w:rPr>
            <w:rFonts w:ascii="Calibri" w:hAnsi="Calibri" w:cs="Calibri"/>
            <w:color w:val="0000FF"/>
          </w:rPr>
          <w:t>подпунктах 1</w:t>
        </w:r>
      </w:hyperlink>
      <w:r>
        <w:rPr>
          <w:rFonts w:ascii="Calibri" w:hAnsi="Calibri" w:cs="Calibri"/>
        </w:rPr>
        <w:t xml:space="preserve"> - </w:t>
      </w:r>
      <w:hyperlink w:anchor="Par11" w:history="1">
        <w:r>
          <w:rPr>
            <w:rFonts w:ascii="Calibri" w:hAnsi="Calibri" w:cs="Calibri"/>
            <w:color w:val="0000FF"/>
          </w:rPr>
          <w:t>6 пункта 2</w:t>
        </w:r>
      </w:hyperlink>
      <w:r>
        <w:rPr>
          <w:rFonts w:ascii="Calibri" w:hAnsi="Calibri" w:cs="Calibri"/>
        </w:rPr>
        <w:t xml:space="preserve"> настоящей статьи.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5" w:name="Par25"/>
      <w:bookmarkEnd w:id="15"/>
      <w:r>
        <w:rPr>
          <w:rFonts w:ascii="Calibri" w:hAnsi="Calibri" w:cs="Calibri"/>
        </w:rPr>
        <w:t xml:space="preserve">9. Основанием для отказа в осуществлении операции на лицевом счете участника системы казначейских платежей является наличие в отношении юридического лица, индивидуального предпринимателя, физического лица - производителя товаров, работ, услуг, получающих денежные средства от участника системы казначейских платежей, информации, указанной в </w:t>
      </w:r>
      <w:hyperlink w:anchor="Par6" w:history="1">
        <w:r>
          <w:rPr>
            <w:rFonts w:ascii="Calibri" w:hAnsi="Calibri" w:cs="Calibri"/>
            <w:color w:val="0000FF"/>
          </w:rPr>
          <w:t>подпунктах 1</w:t>
        </w:r>
      </w:hyperlink>
      <w:r>
        <w:rPr>
          <w:rFonts w:ascii="Calibri" w:hAnsi="Calibri" w:cs="Calibri"/>
        </w:rPr>
        <w:t xml:space="preserve"> - </w:t>
      </w:r>
      <w:hyperlink w:anchor="Par11" w:history="1">
        <w:r>
          <w:rPr>
            <w:rFonts w:ascii="Calibri" w:hAnsi="Calibri" w:cs="Calibri"/>
            <w:color w:val="0000FF"/>
          </w:rPr>
          <w:t>6 пункта 2</w:t>
        </w:r>
      </w:hyperlink>
      <w:r>
        <w:rPr>
          <w:rFonts w:ascii="Calibri" w:hAnsi="Calibri" w:cs="Calibri"/>
        </w:rPr>
        <w:t xml:space="preserve"> настоящей статьи.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 xml:space="preserve">Федеральное казначейство по результатам проверки наличия оснований для применения мер реагирования, предусмотренных </w:t>
      </w:r>
      <w:hyperlink w:anchor="Par20" w:history="1">
        <w:r>
          <w:rPr>
            <w:rFonts w:ascii="Calibri" w:hAnsi="Calibri" w:cs="Calibri"/>
            <w:color w:val="0000FF"/>
          </w:rPr>
          <w:t>пунктами 4</w:t>
        </w:r>
      </w:hyperlink>
      <w:r>
        <w:rPr>
          <w:rFonts w:ascii="Calibri" w:hAnsi="Calibri" w:cs="Calibri"/>
        </w:rPr>
        <w:t xml:space="preserve">, </w:t>
      </w:r>
      <w:hyperlink w:anchor="Par24" w:history="1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и </w:t>
      </w:r>
      <w:hyperlink w:anchor="Par25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настоящей статьи,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проведения казначейского мониторинга информирует участников системы казначейских платежей об отказе в открытии лицевого счета, о запрете осуществления операций на лицевом счете и об отказе в осуществлении операции на лицевом счете.</w:t>
      </w:r>
      <w:proofErr w:type="gramEnd"/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</w:t>
      </w:r>
      <w:proofErr w:type="gramStart"/>
      <w:r>
        <w:rPr>
          <w:rFonts w:ascii="Calibri" w:hAnsi="Calibri" w:cs="Calibri"/>
        </w:rPr>
        <w:t xml:space="preserve">Главный распорядитель бюджетных средств в соответствии с порядком проведения казначейского мониторинга по истечении трех месяцев со дня применения мер реагирования, предусмотренных </w:t>
      </w:r>
      <w:hyperlink w:anchor="Par16" w:history="1">
        <w:r>
          <w:rPr>
            <w:rFonts w:ascii="Calibri" w:hAnsi="Calibri" w:cs="Calibri"/>
            <w:color w:val="0000FF"/>
          </w:rPr>
          <w:t>подпунктами 1</w:t>
        </w:r>
      </w:hyperlink>
      <w:r>
        <w:rPr>
          <w:rFonts w:ascii="Calibri" w:hAnsi="Calibri" w:cs="Calibri"/>
        </w:rPr>
        <w:t xml:space="preserve"> и </w:t>
      </w:r>
      <w:hyperlink w:anchor="Par18" w:history="1">
        <w:r>
          <w:rPr>
            <w:rFonts w:ascii="Calibri" w:hAnsi="Calibri" w:cs="Calibri"/>
            <w:color w:val="0000FF"/>
          </w:rPr>
          <w:t>3 пункта 3</w:t>
        </w:r>
      </w:hyperlink>
      <w:r>
        <w:rPr>
          <w:rFonts w:ascii="Calibri" w:hAnsi="Calibri" w:cs="Calibri"/>
        </w:rPr>
        <w:t xml:space="preserve"> настоящей статьи, в случае наличия оснований, предусмотренных </w:t>
      </w:r>
      <w:hyperlink w:anchor="Par20" w:history="1">
        <w:r>
          <w:rPr>
            <w:rFonts w:ascii="Calibri" w:hAnsi="Calibri" w:cs="Calibri"/>
            <w:color w:val="0000FF"/>
          </w:rPr>
          <w:t>пунктами 4</w:t>
        </w:r>
      </w:hyperlink>
      <w:r>
        <w:rPr>
          <w:rFonts w:ascii="Calibri" w:hAnsi="Calibri" w:cs="Calibri"/>
        </w:rPr>
        <w:t xml:space="preserve"> и </w:t>
      </w:r>
      <w:hyperlink w:anchor="Par24" w:history="1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настоящей статьи, вправе принять решение об одностороннем отказе от исполнения договора (соглашения) о предоставлении субсидии (бюджетных инвестиций).</w:t>
      </w:r>
      <w:proofErr w:type="gramEnd"/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6" w:name="Par28"/>
      <w:bookmarkEnd w:id="16"/>
      <w:r>
        <w:rPr>
          <w:rFonts w:ascii="Calibri" w:hAnsi="Calibri" w:cs="Calibri"/>
        </w:rPr>
        <w:t>12. Остаток средств, полученных на основании договора (соглашения) о предоставлении субсидии (бюджетных инвестиций), не использованный на момент принятия решения об одностороннем отказе от исполнения договора (соглашения) о предоставлении субсидии (бюджетных инвестиций), подлежит возврату в соответствующий бюджет бюджетной системы Российской Федерации в соответствии с порядком проведения казначейского мониторинга.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случае </w:t>
      </w:r>
      <w:proofErr w:type="spellStart"/>
      <w:r>
        <w:rPr>
          <w:rFonts w:ascii="Calibri" w:hAnsi="Calibri" w:cs="Calibri"/>
        </w:rPr>
        <w:t>неперечисления</w:t>
      </w:r>
      <w:proofErr w:type="spellEnd"/>
      <w:r>
        <w:rPr>
          <w:rFonts w:ascii="Calibri" w:hAnsi="Calibri" w:cs="Calibri"/>
        </w:rPr>
        <w:t xml:space="preserve"> получателем субсидии (бюджетных инвестиций) в соответствии с </w:t>
      </w:r>
      <w:hyperlink w:anchor="Par28" w:history="1">
        <w:r>
          <w:rPr>
            <w:rFonts w:ascii="Calibri" w:hAnsi="Calibri" w:cs="Calibri"/>
            <w:color w:val="0000FF"/>
          </w:rPr>
          <w:t>пунктом 12</w:t>
        </w:r>
      </w:hyperlink>
      <w:r>
        <w:rPr>
          <w:rFonts w:ascii="Calibri" w:hAnsi="Calibri" w:cs="Calibri"/>
        </w:rPr>
        <w:t xml:space="preserve"> настоящей статьи неиспользованного остатка средств указанные средства подлежат возврату Федеральным казначейством, финансовым органом субъекта Российской Федерации (муниципального образования) в соответствующий бюджет бюджетной системы Российской Федерации в соответствии с порядком проведения казначейского мониторинга.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Федеральное казначейство по результатам проверки наличия признаков финансовых нарушений, включенных в классификатор признаков финансовых нарушений, применяет в соответствии с порядком проведения казначейского </w:t>
      </w:r>
      <w:proofErr w:type="gramStart"/>
      <w:r>
        <w:rPr>
          <w:rFonts w:ascii="Calibri" w:hAnsi="Calibri" w:cs="Calibri"/>
        </w:rPr>
        <w:t>мониторинга</w:t>
      </w:r>
      <w:proofErr w:type="gramEnd"/>
      <w:r>
        <w:rPr>
          <w:rFonts w:ascii="Calibri" w:hAnsi="Calibri" w:cs="Calibri"/>
        </w:rPr>
        <w:t xml:space="preserve"> следующие меры реагирования в отношении участников системы казначейских платежей: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приостановление операции на лицевом счете;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2) предупреждение о наличии признаков финансовых нарушений.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Федеральное казначейство в порядке, установленном Правительством Российской Федерации, информирует федеральный орган исполнительной власти, осуществляющий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уничтожения: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 каждом факте отказа в открытии лицевого счета;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о каждом факте запрета осуществления операций на лицевом счете или отказа в осуществлении операции на лицевом счете;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 каждой операции по перечислению средств на лицевых счетах участников системы казначейских платежей, если сумма совершаемой операции превышает 50 миллионов рублей;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о каждой операции по переводу денежных средств на банковские счета, открытые в кредитных организациях получателям средств из бюджета, если сумма совершаемой операции превышает 1 миллион рублей.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</w:t>
      </w:r>
      <w:proofErr w:type="gramStart"/>
      <w:r>
        <w:rPr>
          <w:rFonts w:ascii="Calibri" w:hAnsi="Calibri" w:cs="Calibri"/>
        </w:rPr>
        <w:t>Федеральное казначейство при осуществлении полномочий, предусмотренных настоящей статьей, обменивается информацией, в том числе информацией, доступ к которой ограничен федеральными законами, с налоговыми органами, таможенными органами, антимонопольными органами, федеральным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органами, осуществляющими мониторинг, контроль и аудит в сфере закупок</w:t>
      </w:r>
      <w:proofErr w:type="gramEnd"/>
      <w:r>
        <w:rPr>
          <w:rFonts w:ascii="Calibri" w:hAnsi="Calibri" w:cs="Calibri"/>
        </w:rPr>
        <w:t xml:space="preserve">, Центральным банком Российской Федерации в </w:t>
      </w:r>
      <w:hyperlink r:id="rId10" w:history="1">
        <w:r>
          <w:rPr>
            <w:rFonts w:ascii="Calibri" w:hAnsi="Calibri" w:cs="Calibri"/>
            <w:color w:val="0000FF"/>
          </w:rPr>
          <w:t>случаях</w:t>
        </w:r>
      </w:hyperlink>
      <w:r>
        <w:rPr>
          <w:rFonts w:ascii="Calibri" w:hAnsi="Calibri" w:cs="Calibri"/>
        </w:rPr>
        <w:t xml:space="preserve"> и </w:t>
      </w:r>
      <w:hyperlink r:id="rId11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установленных Правительством Российской Федерации.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Обмен информацией, предусмотренной настоящей статьей, осуществляется с учетом требований </w:t>
      </w:r>
      <w:hyperlink r:id="rId12" w:history="1">
        <w:r>
          <w:rPr>
            <w:rFonts w:ascii="Calibri" w:hAnsi="Calibri" w:cs="Calibri"/>
            <w:color w:val="0000FF"/>
          </w:rPr>
          <w:t>законодательства</w:t>
        </w:r>
      </w:hyperlink>
      <w:r>
        <w:rPr>
          <w:rFonts w:ascii="Calibri" w:hAnsi="Calibri" w:cs="Calibri"/>
        </w:rPr>
        <w:t xml:space="preserve"> Российской Федерации о государственной и иной охраняемой законом тайне.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Федеральное казначейство проводит казначейский мониторинг при осуществлении операций на лицевых счетах участников системы казначейских платежей в случаях перевода денежных средств на банковские счета, открытые в Центральном банке Российской Федерации и в кредитных организациях, за исключением случаев: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перевода денежных средств на банковские счета, открытые в соответствии с положениями </w:t>
      </w:r>
      <w:hyperlink r:id="rId13" w:history="1">
        <w:r>
          <w:rPr>
            <w:rFonts w:ascii="Calibri" w:hAnsi="Calibri" w:cs="Calibri"/>
            <w:color w:val="0000FF"/>
          </w:rPr>
          <w:t>статей 155</w:t>
        </w:r>
      </w:hyperlink>
      <w:r>
        <w:rPr>
          <w:rFonts w:ascii="Calibri" w:hAnsi="Calibri" w:cs="Calibri"/>
        </w:rPr>
        <w:t xml:space="preserve"> и </w:t>
      </w:r>
      <w:hyperlink r:id="rId14" w:history="1">
        <w:r>
          <w:rPr>
            <w:rFonts w:ascii="Calibri" w:hAnsi="Calibri" w:cs="Calibri"/>
            <w:color w:val="0000FF"/>
          </w:rPr>
          <w:t>156</w:t>
        </w:r>
      </w:hyperlink>
      <w:r>
        <w:rPr>
          <w:rFonts w:ascii="Calibri" w:hAnsi="Calibri" w:cs="Calibri"/>
        </w:rPr>
        <w:t xml:space="preserve"> настоящего Кодекса;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2) выплат физическим лицам, в том числе по оплате труда (денежного содержания, денежного вознаграждения, денежного довольствия, заработной платы) с учетом начислений и социальных выплат, иных выплат в пользу работников, выплат лицам, не состоящим в штате юридического лица, привлеченным для достижения цели, определенной при предоставлении средств, а также выплат на социальное обеспечение и иных выплат населению;</w:t>
      </w:r>
      <w:proofErr w:type="gramEnd"/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перевода денежных средств, в том числе в иностранной валюте, на счет получателя бюджетных средств, открытый ему в Центральном банке Российской Федерации или в кредитной организации;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возврата излишне уплаченных (взысканных) платежей в бюджеты бюджетной системы Российской Федерации;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5) перевода денежных средств, направленных на погашение источников финансирования дефицита бюджета;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6) возврата плательщику или перевода средств, поступивших во временное распоряжение получателя бюджетных сре</w:t>
      </w:r>
      <w:proofErr w:type="gramStart"/>
      <w:r>
        <w:rPr>
          <w:rFonts w:ascii="Calibri" w:hAnsi="Calibri" w:cs="Calibri"/>
        </w:rPr>
        <w:t>дств в с</w:t>
      </w:r>
      <w:proofErr w:type="gramEnd"/>
      <w:r>
        <w:rPr>
          <w:rFonts w:ascii="Calibri" w:hAnsi="Calibri" w:cs="Calibri"/>
        </w:rPr>
        <w:t>оответствии с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законами субъекта Российской Федерации, нормативными правовыми актами высших исполнительных органов субъектов Российской Федерации, муниципальными правовыми актами;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7) перевода денежных средств, подлежащих взысканию на основании исполнительных документов.</w:t>
      </w:r>
    </w:p>
    <w:p w:rsidR="002A188A" w:rsidRDefault="002A188A" w:rsidP="002A188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Финансовые органы субъектов Российской Федерации (муниципальных образований), органы управления государственными внебюджетными фондами Российской Федерации открывают лицевые счета участникам системы казначейских платежей и осуществляют операции на указанных лицевых счетах после проведения Федеральным казначейством казначейского мониторинга в соответствии с порядком проведения казначейского мониторинга.</w:t>
      </w:r>
    </w:p>
    <w:p w:rsidR="005C6642" w:rsidRDefault="005C6642"/>
    <w:sectPr w:rsidR="005C6642" w:rsidSect="00E26DFA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88A"/>
    <w:rsid w:val="00142BAE"/>
    <w:rsid w:val="002A188A"/>
    <w:rsid w:val="005B1647"/>
    <w:rsid w:val="005C6642"/>
    <w:rsid w:val="0078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8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8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795&amp;dst=100011" TargetMode="External"/><Relationship Id="rId13" Type="http://schemas.openxmlformats.org/officeDocument/2006/relationships/hyperlink" Target="https://login.consultant.ru/link/?req=doc&amp;base=LAW&amp;n=542662&amp;dst=23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21087&amp;dst=100142" TargetMode="External"/><Relationship Id="rId12" Type="http://schemas.openxmlformats.org/officeDocument/2006/relationships/hyperlink" Target="https://login.consultant.ru/link/?req=doc&amp;base=LAW&amp;n=93980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0465&amp;dst=100013" TargetMode="External"/><Relationship Id="rId11" Type="http://schemas.openxmlformats.org/officeDocument/2006/relationships/hyperlink" Target="https://login.consultant.ru/link/?req=doc&amp;base=LAW&amp;n=502849&amp;dst=100014" TargetMode="External"/><Relationship Id="rId5" Type="http://schemas.openxmlformats.org/officeDocument/2006/relationships/hyperlink" Target="https://login.consultant.ru/link/?req=doc&amp;base=LAW&amp;n=537935&amp;dst=10013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2849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0465&amp;dst=100013" TargetMode="External"/><Relationship Id="rId14" Type="http://schemas.openxmlformats.org/officeDocument/2006/relationships/hyperlink" Target="https://login.consultant.ru/link/?req=doc&amp;base=LAW&amp;n=542662&amp;dst=1035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2263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Савенкова Ирина Викторовна</dc:creator>
  <cp:lastModifiedBy>Савенкова Ирина Викторовна</cp:lastModifiedBy>
  <cp:revision>2</cp:revision>
  <cp:lastPrinted>2026-08-31T08:15:00Z</cp:lastPrinted>
  <dcterms:created xsi:type="dcterms:W3CDTF">2026-08-31T08:12:00Z</dcterms:created>
  <dcterms:modified xsi:type="dcterms:W3CDTF">2026-08-31T11:35:00Z</dcterms:modified>
</cp:coreProperties>
</file>