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91D" w:rsidRDefault="002C5A2F" w:rsidP="002C5A2F">
      <w:pPr>
        <w:jc w:val="both"/>
      </w:pPr>
      <w:proofErr w:type="gramStart"/>
      <w:r w:rsidRPr="001E009D">
        <w:rPr>
          <w:sz w:val="24"/>
          <w:szCs w:val="24"/>
        </w:rPr>
        <w:t xml:space="preserve">Управлением Федерального казначейства по Ростовской области бюджетные кредиты, предоставляемые в соответствии с положениями </w:t>
      </w:r>
      <w:hyperlink r:id="rId4" w:history="1">
        <w:r w:rsidRPr="001E009D">
          <w:rPr>
            <w:sz w:val="24"/>
            <w:szCs w:val="24"/>
          </w:rPr>
          <w:t>статьи 93.6</w:t>
        </w:r>
      </w:hyperlink>
      <w:r w:rsidRPr="001E009D">
        <w:rPr>
          <w:sz w:val="24"/>
          <w:szCs w:val="24"/>
        </w:rPr>
        <w:t xml:space="preserve"> Бюджетного кодекса Российской Федерации и порядком, установленным Правительством Российской Федерации от 20 августа 2013 г. № 721 «Об утверждении Правил предоставления бюджетных кредитов на пополнение остатков средств на счетах бюджетов субъектов Российской Федерации (местных бюджетов)» с 01.01.2016 по 16.12.2016 не выдавались</w:t>
      </w:r>
      <w:r>
        <w:rPr>
          <w:sz w:val="24"/>
          <w:szCs w:val="24"/>
        </w:rPr>
        <w:t>.</w:t>
      </w:r>
      <w:proofErr w:type="gramEnd"/>
    </w:p>
    <w:sectPr w:rsidR="001F091D" w:rsidSect="001F0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Lucida Console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2C5A2F"/>
    <w:rsid w:val="001F091D"/>
    <w:rsid w:val="002C5A2F"/>
    <w:rsid w:val="00413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9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uiPriority w:val="99"/>
    <w:semiHidden/>
    <w:rsid w:val="002C5A2F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294C131E941B67B8FF6E6AC7E295D2D674CB3F18149D569DFFBD84AF85707558D40963F121FA580Z5R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inet104</dc:creator>
  <cp:lastModifiedBy>inet104</cp:lastModifiedBy>
  <cp:revision>1</cp:revision>
  <dcterms:created xsi:type="dcterms:W3CDTF">2016-12-22T07:27:00Z</dcterms:created>
  <dcterms:modified xsi:type="dcterms:W3CDTF">2016-12-22T07:27:00Z</dcterms:modified>
</cp:coreProperties>
</file>